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0" w:type="auto"/>
        <w:tblLook w:val="04A0"/>
      </w:tblPr>
      <w:tblGrid>
        <w:gridCol w:w="1384"/>
        <w:gridCol w:w="5245"/>
        <w:gridCol w:w="2015"/>
      </w:tblGrid>
      <w:tr w:rsidR="00274BBD" w:rsidTr="00274BBD">
        <w:tc>
          <w:tcPr>
            <w:tcW w:w="1384" w:type="dxa"/>
          </w:tcPr>
          <w:p w:rsidR="00274BBD" w:rsidRDefault="00274BBD" w:rsidP="005719C3">
            <w:pPr>
              <w:jc w:val="center"/>
            </w:pPr>
            <w:r>
              <w:t>Data Revisão</w:t>
            </w:r>
          </w:p>
          <w:p w:rsidR="00274BBD" w:rsidRDefault="00EA1053" w:rsidP="005719C3">
            <w:pPr>
              <w:jc w:val="center"/>
            </w:pPr>
            <w:proofErr w:type="gramStart"/>
            <w:r>
              <w:t>15Jul</w:t>
            </w:r>
            <w:r w:rsidR="00274BBD">
              <w:t>23</w:t>
            </w:r>
            <w:proofErr w:type="gramEnd"/>
          </w:p>
        </w:tc>
        <w:tc>
          <w:tcPr>
            <w:tcW w:w="5245" w:type="dxa"/>
          </w:tcPr>
          <w:p w:rsidR="00274BBD" w:rsidRDefault="00274BBD" w:rsidP="005719C3">
            <w:pPr>
              <w:jc w:val="center"/>
            </w:pPr>
            <w:proofErr w:type="spellStart"/>
            <w:r>
              <w:t>Los</w:t>
            </w:r>
            <w:proofErr w:type="spellEnd"/>
            <w:r>
              <w:t xml:space="preserve"> Picas Retas</w:t>
            </w:r>
          </w:p>
          <w:p w:rsidR="00BF3893" w:rsidRDefault="00BF3893" w:rsidP="005719C3">
            <w:pPr>
              <w:jc w:val="center"/>
            </w:pPr>
            <w:proofErr w:type="spellStart"/>
            <w:r>
              <w:t>Shineray</w:t>
            </w:r>
            <w:proofErr w:type="spellEnd"/>
            <w:r>
              <w:t xml:space="preserve"> SHE-S</w:t>
            </w:r>
          </w:p>
        </w:tc>
        <w:tc>
          <w:tcPr>
            <w:tcW w:w="2015" w:type="dxa"/>
          </w:tcPr>
          <w:p w:rsidR="00274BBD" w:rsidRDefault="00274BBD" w:rsidP="005719C3">
            <w:pPr>
              <w:jc w:val="center"/>
            </w:pPr>
            <w:r>
              <w:t xml:space="preserve">POP </w:t>
            </w:r>
            <w:r w:rsidR="00EA1053">
              <w:t>3.2.5.0.1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EA1053" w:rsidRDefault="00EA1053" w:rsidP="00EA1053">
            <w:pPr>
              <w:jc w:val="center"/>
            </w:pPr>
            <w:r>
              <w:t>Preparação do isolamento de área para serviços na bateria</w:t>
            </w:r>
          </w:p>
          <w:p w:rsidR="00274BBD" w:rsidRDefault="003A3FBA" w:rsidP="00EA1053">
            <w:pPr>
              <w:jc w:val="center"/>
            </w:pPr>
            <w:r>
              <w:t>E liberação de AI para ANI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274BBD" w:rsidRDefault="00274BBD">
            <w:r>
              <w:t xml:space="preserve">Objetivo </w:t>
            </w:r>
            <w:r w:rsidR="00EA1053">
              <w:t>Preparar a área de trabalho para a execução de serviços na bateria com risco de choque elétrico</w:t>
            </w:r>
          </w:p>
          <w:p w:rsidR="00274BBD" w:rsidRDefault="00274BBD">
            <w:r>
              <w:t>Documentos de re</w:t>
            </w:r>
            <w:r w:rsidR="00EA1053">
              <w:t>ferência NR10</w:t>
            </w:r>
          </w:p>
          <w:p w:rsidR="00274BBD" w:rsidRDefault="00274BBD">
            <w:r>
              <w:t>Local de aplicação no local da realização dos serviços</w:t>
            </w:r>
          </w:p>
          <w:p w:rsidR="00274BBD" w:rsidRDefault="00274BBD">
            <w:r>
              <w:t>Siglas</w:t>
            </w:r>
            <w:r w:rsidR="00EA1053">
              <w:t xml:space="preserve"> AI = Área isolada, ANI = Área não </w:t>
            </w:r>
            <w:proofErr w:type="gramStart"/>
            <w:r w:rsidR="00EA1053">
              <w:t>isolada</w:t>
            </w:r>
            <w:proofErr w:type="gramEnd"/>
          </w:p>
          <w:p w:rsidR="00821CDE" w:rsidRDefault="00821CDE">
            <w:r>
              <w:t xml:space="preserve">Materiais Tapete </w:t>
            </w:r>
            <w:proofErr w:type="gramStart"/>
            <w:r>
              <w:t>isolante, Fita</w:t>
            </w:r>
            <w:proofErr w:type="gramEnd"/>
            <w:r>
              <w:t xml:space="preserve"> demarcação amarela, cartazes ou bandeiras de energia Elétrica.</w:t>
            </w:r>
            <w:r w:rsidR="00A53591">
              <w:t xml:space="preserve"> Eventuais postes ou barras de isolamento, podendo </w:t>
            </w:r>
            <w:proofErr w:type="gramStart"/>
            <w:r w:rsidR="00A53591">
              <w:t>serem</w:t>
            </w:r>
            <w:proofErr w:type="gramEnd"/>
            <w:r w:rsidR="00A53591">
              <w:t xml:space="preserve"> utilizados meios de fortuna.</w:t>
            </w:r>
          </w:p>
          <w:p w:rsidR="00EA1053" w:rsidRDefault="00274BBD">
            <w:r>
              <w:t xml:space="preserve">Descrição das etapas da tarefa o executor </w:t>
            </w:r>
            <w:r w:rsidR="00821CDE">
              <w:t xml:space="preserve">paramentado </w:t>
            </w:r>
            <w:r>
              <w:t xml:space="preserve">deve </w:t>
            </w:r>
            <w:r w:rsidR="00821CDE">
              <w:t>preparar a área de trabalho, seja aonde for, no solo ou na bancada, colocando o tapete isolante abaixo da bateria e em seguida circundar a área</w:t>
            </w:r>
            <w:proofErr w:type="gramStart"/>
            <w:r w:rsidR="00821CDE">
              <w:t xml:space="preserve">  </w:t>
            </w:r>
            <w:proofErr w:type="gramEnd"/>
            <w:r w:rsidR="00821CDE">
              <w:t>de passagem de pessoas com a fita amarela e os cartazes de energia Elétrica.</w:t>
            </w:r>
          </w:p>
          <w:p w:rsidR="00821CDE" w:rsidRDefault="000E7AE0">
            <w:r>
              <w:t>O segundo técnico paramentado</w:t>
            </w:r>
            <w:r w:rsidR="00821CDE">
              <w:t xml:space="preserve"> deve conferir se as etapas foram cumpridas e se posicionar do lado de fora </w:t>
            </w:r>
            <w:proofErr w:type="gramStart"/>
            <w:r w:rsidR="00821CDE">
              <w:t>da AI</w:t>
            </w:r>
            <w:proofErr w:type="gramEnd"/>
            <w:r w:rsidR="00821CDE">
              <w:t xml:space="preserve"> permanecendo de prontidão com a alavanca de remoção em caso de choque.</w:t>
            </w:r>
          </w:p>
          <w:p w:rsidR="003A3FBA" w:rsidRDefault="003A3FBA">
            <w:r>
              <w:t>Qualquer ocorrência de quebra no isolamento deve ser tratada como invasão de AI POP 3.2.5.0.2</w:t>
            </w:r>
            <w:r w:rsidR="0093316B">
              <w:t xml:space="preserve"> Invasão de AI.</w:t>
            </w:r>
          </w:p>
          <w:p w:rsidR="00821CDE" w:rsidRDefault="00821CDE">
            <w:r>
              <w:t xml:space="preserve">Não existe previsão de entrada do segundo técnico </w:t>
            </w:r>
            <w:proofErr w:type="gramStart"/>
            <w:r>
              <w:t>na AI</w:t>
            </w:r>
            <w:proofErr w:type="gramEnd"/>
            <w:r>
              <w:t xml:space="preserve"> em momento algum</w:t>
            </w:r>
            <w:r w:rsidR="003A3FBA">
              <w:t xml:space="preserve"> exceto no caso de socorro ao executor.</w:t>
            </w:r>
          </w:p>
          <w:p w:rsidR="000E7AE0" w:rsidRDefault="000E7AE0">
            <w:r>
              <w:t>Exceções à regra, eventualmente a área de prestação de serviço pode ser restrita à circulação de pessoas e não há necessidade de formar o perímetro de isolamento</w:t>
            </w:r>
            <w:proofErr w:type="gramStart"/>
            <w:r>
              <w:t xml:space="preserve"> mas</w:t>
            </w:r>
            <w:proofErr w:type="gramEnd"/>
            <w:r>
              <w:t>, mesmo assim, se houver uma porta de acesso ou qualquer outro meio de acesso físico ao nível do solo, a sinalização deve ser colocada de forma visível nestes pontos de acesso e também se deixa de exigir as demais regras de permanência na AI exceto no caso de invasão de AI.</w:t>
            </w:r>
          </w:p>
          <w:p w:rsidR="003A3FBA" w:rsidRDefault="003A3FBA">
            <w:r>
              <w:t>Após a conclusão dos trabalhos, se houver necessidade todo o material demarcatório pode ser recolhido e guardado.</w:t>
            </w:r>
          </w:p>
          <w:p w:rsidR="003A3FBA" w:rsidRDefault="003A3FBA">
            <w:r>
              <w:t>No caso de não término do serviço e ou estando expostos materiais energizados a AI deve permanecer sinalizada enquanto perdurar o risco.</w:t>
            </w:r>
          </w:p>
          <w:p w:rsidR="00274BBD" w:rsidRDefault="00274BBD">
            <w:r>
              <w:t xml:space="preserve">Fluxograma não </w:t>
            </w:r>
            <w:r w:rsidR="00B23F0E">
              <w:t>aplicável</w:t>
            </w:r>
            <w:r>
              <w:t xml:space="preserve"> no momento</w:t>
            </w:r>
          </w:p>
          <w:p w:rsidR="00274BBD" w:rsidRDefault="00274BBD">
            <w:r>
              <w:t>Local de arquivo do material em Word 2007 site do clube do hardware</w:t>
            </w:r>
          </w:p>
          <w:p w:rsidR="00274BBD" w:rsidRDefault="00274BBD">
            <w:r>
              <w:t xml:space="preserve">Forma de geração digital podendo ser impressa fisicamente como </w:t>
            </w:r>
            <w:r w:rsidR="00821CDE">
              <w:t>também</w:t>
            </w:r>
            <w:r>
              <w:t xml:space="preserve"> ser alterada ao bel prazer do interessado bastand</w:t>
            </w:r>
            <w:r w:rsidR="0090624C">
              <w:t>o substituir</w:t>
            </w:r>
            <w:r>
              <w:t xml:space="preserve"> o nome </w:t>
            </w:r>
            <w:proofErr w:type="spellStart"/>
            <w:r>
              <w:t>Los</w:t>
            </w:r>
            <w:proofErr w:type="spellEnd"/>
            <w:r>
              <w:t xml:space="preserve"> Picas Retas</w:t>
            </w:r>
            <w:r w:rsidR="0090624C">
              <w:t xml:space="preserve"> para diferenciar a origem comercial</w:t>
            </w:r>
          </w:p>
          <w:p w:rsidR="00274BBD" w:rsidRDefault="00274BBD" w:rsidP="00274BBD">
            <w:r>
              <w:t xml:space="preserve">Gestor </w:t>
            </w:r>
            <w:proofErr w:type="spellStart"/>
            <w:r>
              <w:t>Pincipi</w:t>
            </w:r>
            <w:proofErr w:type="spellEnd"/>
            <w:r w:rsidR="0090624C">
              <w:t>, mero interessado no assunto</w:t>
            </w:r>
            <w:r w:rsidR="00821CDE">
              <w:t>.</w:t>
            </w:r>
          </w:p>
          <w:p w:rsidR="00821CDE" w:rsidRDefault="00821CDE" w:rsidP="00274BBD"/>
          <w:p w:rsidR="0090624C" w:rsidRDefault="0090624C">
            <w:r>
              <w:t xml:space="preserve">Aviso de não conformidade, devido </w:t>
            </w:r>
            <w:r w:rsidR="00821CDE">
              <w:t>à</w:t>
            </w:r>
            <w:r>
              <w:t xml:space="preserve"> situação da produção deste documento estar voltada a divulgação não onerosa e gratuita</w:t>
            </w:r>
            <w:r w:rsidR="002B3760">
              <w:t xml:space="preserve"> ao publico externo</w:t>
            </w:r>
            <w:r>
              <w:t xml:space="preserve">, não há previsão dos relatórios de não conformidade e sua </w:t>
            </w:r>
            <w:r w:rsidR="00821CDE">
              <w:t>consequente</w:t>
            </w:r>
            <w:r>
              <w:t xml:space="preserve"> mudança nos </w:t>
            </w:r>
            <w:proofErr w:type="spellStart"/>
            <w:proofErr w:type="gramStart"/>
            <w:r>
              <w:t>POPs</w:t>
            </w:r>
            <w:proofErr w:type="spellEnd"/>
            <w:proofErr w:type="gramEnd"/>
            <w:r>
              <w:t xml:space="preserve"> </w:t>
            </w:r>
          </w:p>
          <w:p w:rsidR="00274BBD" w:rsidRDefault="00274BBD"/>
        </w:tc>
      </w:tr>
      <w:tr w:rsidR="00274BBD" w:rsidTr="00ED67BC">
        <w:tc>
          <w:tcPr>
            <w:tcW w:w="6629" w:type="dxa"/>
            <w:gridSpan w:val="2"/>
          </w:tcPr>
          <w:p w:rsidR="00274BBD" w:rsidRDefault="005719C3">
            <w:r>
              <w:t>Data produção inicial Nov22</w:t>
            </w:r>
          </w:p>
        </w:tc>
        <w:tc>
          <w:tcPr>
            <w:tcW w:w="2015" w:type="dxa"/>
          </w:tcPr>
          <w:p w:rsidR="00274BBD" w:rsidRDefault="00274BBD">
            <w:r>
              <w:t xml:space="preserve">Página </w:t>
            </w:r>
            <w:proofErr w:type="gramStart"/>
            <w:r>
              <w:t xml:space="preserve">01 </w:t>
            </w:r>
            <w:proofErr w:type="spellStart"/>
            <w:r>
              <w:t>01</w:t>
            </w:r>
            <w:proofErr w:type="spellEnd"/>
            <w:proofErr w:type="gramEnd"/>
          </w:p>
        </w:tc>
      </w:tr>
    </w:tbl>
    <w:p w:rsidR="00BE0BF0" w:rsidRDefault="00BE0BF0"/>
    <w:sectPr w:rsidR="00BE0BF0" w:rsidSect="00BE0B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D1653"/>
    <w:multiLevelType w:val="multilevel"/>
    <w:tmpl w:val="4B1CD22A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5CA218D"/>
    <w:multiLevelType w:val="multilevel"/>
    <w:tmpl w:val="BBDA232C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32B577B9"/>
    <w:multiLevelType w:val="multilevel"/>
    <w:tmpl w:val="A0901F82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36CB43AC"/>
    <w:multiLevelType w:val="multilevel"/>
    <w:tmpl w:val="C3D41D9E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4F176299"/>
    <w:multiLevelType w:val="multilevel"/>
    <w:tmpl w:val="83D28430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7CE5193"/>
    <w:multiLevelType w:val="multilevel"/>
    <w:tmpl w:val="5BC05244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B99364B"/>
    <w:multiLevelType w:val="multilevel"/>
    <w:tmpl w:val="4AB8C5A6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BBD"/>
    <w:rsid w:val="000E7AE0"/>
    <w:rsid w:val="000F717B"/>
    <w:rsid w:val="00231FEF"/>
    <w:rsid w:val="00274BBD"/>
    <w:rsid w:val="002B3760"/>
    <w:rsid w:val="003A3FBA"/>
    <w:rsid w:val="00423F72"/>
    <w:rsid w:val="005719C3"/>
    <w:rsid w:val="00624673"/>
    <w:rsid w:val="00785787"/>
    <w:rsid w:val="00794745"/>
    <w:rsid w:val="007955AF"/>
    <w:rsid w:val="00821CDE"/>
    <w:rsid w:val="008B0581"/>
    <w:rsid w:val="008D6CAF"/>
    <w:rsid w:val="0090624C"/>
    <w:rsid w:val="0093316B"/>
    <w:rsid w:val="00A53591"/>
    <w:rsid w:val="00B23F0E"/>
    <w:rsid w:val="00BB1418"/>
    <w:rsid w:val="00BE0BF0"/>
    <w:rsid w:val="00BF3893"/>
    <w:rsid w:val="00EA1053"/>
    <w:rsid w:val="00F31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BF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74BB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74B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400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6</cp:revision>
  <dcterms:created xsi:type="dcterms:W3CDTF">2023-07-15T18:52:00Z</dcterms:created>
  <dcterms:modified xsi:type="dcterms:W3CDTF">2023-07-15T21:20:00Z</dcterms:modified>
</cp:coreProperties>
</file>